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ECB8C" w14:textId="77777777" w:rsidR="003248E8" w:rsidRPr="003248E8" w:rsidRDefault="003248E8" w:rsidP="003248E8">
      <w:pPr>
        <w:shd w:val="clear" w:color="auto" w:fill="FFFFFF"/>
        <w:spacing w:line="240" w:lineRule="auto"/>
        <w:rPr>
          <w:rFonts w:eastAsia="Times New Roman" w:cstheme="minorHAnsi"/>
          <w:color w:val="131517"/>
        </w:rPr>
      </w:pPr>
      <w:r w:rsidRPr="003248E8">
        <w:rPr>
          <w:rFonts w:eastAsia="Times New Roman" w:cstheme="minorHAnsi"/>
          <w:color w:val="131517"/>
        </w:rPr>
        <w:t>Subrecipients that receive Fitchburg CDBG awards must comply with all applicable federal and state laws, rules, regulations, guidelines, and executive orders, as may be further delineated in a contract with the City of Fitchburg and guidance that may be issued or amended from time to time by the City of Fitchburg. The City reserves the right to increase or decrease the award of funds for a program when either the delivery or general administration costs are insufficient or unreasonably high or do not support the CDBG program objectives. Further, as we monitor a grant for federal compliance, subrecipients must maintain sufficient documentation to show that costs charged to a program were service-related and not overhead or general administration-related. In any case, it will be the subrecipient’s burden to prove the reasonableness and eligibility of program delivery costs in both the application, and later, in actual practice.</w:t>
      </w:r>
    </w:p>
    <w:p w14:paraId="49B3A12F" w14:textId="2BE453AF" w:rsidR="003248E8" w:rsidRPr="003248E8" w:rsidRDefault="003248E8" w:rsidP="003248E8">
      <w:pPr>
        <w:shd w:val="clear" w:color="auto" w:fill="FFFFFF"/>
        <w:spacing w:line="240" w:lineRule="auto"/>
        <w:rPr>
          <w:rFonts w:eastAsia="Times New Roman" w:cstheme="minorHAnsi"/>
          <w:color w:val="131517"/>
        </w:rPr>
      </w:pPr>
      <w:r w:rsidRPr="003248E8">
        <w:rPr>
          <w:rFonts w:eastAsia="Times New Roman" w:cstheme="minorHAnsi"/>
          <w:color w:val="131517"/>
        </w:rPr>
        <w:t xml:space="preserve">Please be aware that any subrecipient that enters into an agreement with the City of Fitchburg and receives CDBG awards, should comply with the Federal Award Agreement Addendums available on our website, https://www.fitchburgma.gov/CDBG. Failure to comply with </w:t>
      </w:r>
      <w:r>
        <w:rPr>
          <w:rFonts w:eastAsia="Times New Roman" w:cstheme="minorHAnsi"/>
          <w:color w:val="131517"/>
        </w:rPr>
        <w:t xml:space="preserve">the </w:t>
      </w:r>
      <w:r w:rsidRPr="003248E8">
        <w:rPr>
          <w:rFonts w:eastAsia="Times New Roman" w:cstheme="minorHAnsi"/>
          <w:color w:val="131517"/>
        </w:rPr>
        <w:t>aforementioned addendums will result in the return of the award.</w:t>
      </w:r>
    </w:p>
    <w:p w14:paraId="43CEC6F8" w14:textId="77777777" w:rsidR="003248E8" w:rsidRDefault="003248E8" w:rsidP="009628FF">
      <w:pPr>
        <w:autoSpaceDE w:val="0"/>
        <w:autoSpaceDN w:val="0"/>
        <w:adjustRightInd w:val="0"/>
        <w:spacing w:after="0" w:line="240" w:lineRule="auto"/>
        <w:rPr>
          <w:rFonts w:cstheme="minorHAnsi"/>
          <w:b/>
          <w:bCs/>
        </w:rPr>
      </w:pPr>
    </w:p>
    <w:p w14:paraId="36DE6CDF" w14:textId="09D8234C" w:rsidR="009628FF" w:rsidRPr="000667F2" w:rsidRDefault="009628FF" w:rsidP="009628FF">
      <w:pPr>
        <w:autoSpaceDE w:val="0"/>
        <w:autoSpaceDN w:val="0"/>
        <w:adjustRightInd w:val="0"/>
        <w:spacing w:after="0" w:line="240" w:lineRule="auto"/>
        <w:rPr>
          <w:rFonts w:cstheme="minorHAnsi"/>
          <w:b/>
          <w:bCs/>
        </w:rPr>
      </w:pPr>
      <w:r w:rsidRPr="000667F2">
        <w:rPr>
          <w:rFonts w:cstheme="minorHAnsi"/>
          <w:b/>
          <w:bCs/>
        </w:rPr>
        <w:t>U.S. Department of Housing and Urban Development Federal Award Agreement</w:t>
      </w:r>
    </w:p>
    <w:p w14:paraId="58223969" w14:textId="77777777" w:rsidR="009628FF" w:rsidRPr="000667F2" w:rsidRDefault="009628FF" w:rsidP="009628FF">
      <w:pPr>
        <w:autoSpaceDE w:val="0"/>
        <w:autoSpaceDN w:val="0"/>
        <w:adjustRightInd w:val="0"/>
        <w:spacing w:after="0" w:line="240" w:lineRule="auto"/>
        <w:rPr>
          <w:rFonts w:cstheme="minorHAnsi"/>
          <w:b/>
          <w:bCs/>
        </w:rPr>
      </w:pPr>
    </w:p>
    <w:p w14:paraId="4243988F" w14:textId="18E60DE7" w:rsidR="00FE5581" w:rsidRPr="000667F2" w:rsidRDefault="00FE5581" w:rsidP="009628FF">
      <w:pPr>
        <w:pStyle w:val="ListParagraph"/>
        <w:numPr>
          <w:ilvl w:val="0"/>
          <w:numId w:val="4"/>
        </w:numPr>
        <w:autoSpaceDE w:val="0"/>
        <w:autoSpaceDN w:val="0"/>
        <w:adjustRightInd w:val="0"/>
        <w:spacing w:after="0" w:line="240" w:lineRule="auto"/>
        <w:rPr>
          <w:rFonts w:cstheme="minorHAnsi"/>
        </w:rPr>
      </w:pPr>
      <w:r w:rsidRPr="000667F2">
        <w:rPr>
          <w:rFonts w:cstheme="minorHAnsi"/>
        </w:rPr>
        <w:t>The Recipient shall not use grant funds to promote “gender ideology,” as defined in Executive Order</w:t>
      </w:r>
    </w:p>
    <w:p w14:paraId="364083AF"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(E.O.) 14168, Defending Women from Gender Ideology Extremism and Restoring Biological Truth to</w:t>
      </w:r>
    </w:p>
    <w:p w14:paraId="6408B354"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the Federal Government;</w:t>
      </w:r>
    </w:p>
    <w:p w14:paraId="3CD486CA" w14:textId="7D97102C" w:rsidR="00FE5581" w:rsidRPr="000667F2" w:rsidRDefault="00FE5581" w:rsidP="009628FF">
      <w:pPr>
        <w:pStyle w:val="ListParagraph"/>
        <w:numPr>
          <w:ilvl w:val="0"/>
          <w:numId w:val="4"/>
        </w:numPr>
        <w:autoSpaceDE w:val="0"/>
        <w:autoSpaceDN w:val="0"/>
        <w:adjustRightInd w:val="0"/>
        <w:spacing w:after="0" w:line="240" w:lineRule="auto"/>
        <w:rPr>
          <w:rFonts w:cstheme="minorHAnsi"/>
        </w:rPr>
      </w:pPr>
      <w:r w:rsidRPr="000667F2">
        <w:rPr>
          <w:rFonts w:cstheme="minorHAnsi"/>
        </w:rPr>
        <w:t>The Recipient agrees that its compliance in all respects with all applicable Federal anti—</w:t>
      </w:r>
    </w:p>
    <w:p w14:paraId="4043D517"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discrimination laws is material to the U.S. Government’s payment decisions for purposes of section</w:t>
      </w:r>
    </w:p>
    <w:p w14:paraId="0552A7CE" w14:textId="7BE65DF2" w:rsidR="00FE5581" w:rsidRPr="000667F2" w:rsidRDefault="00FE5581" w:rsidP="00FE5581">
      <w:pPr>
        <w:autoSpaceDE w:val="0"/>
        <w:autoSpaceDN w:val="0"/>
        <w:adjustRightInd w:val="0"/>
        <w:spacing w:after="0" w:line="240" w:lineRule="auto"/>
        <w:rPr>
          <w:rFonts w:cstheme="minorHAnsi"/>
        </w:rPr>
      </w:pPr>
      <w:r w:rsidRPr="000667F2">
        <w:rPr>
          <w:rFonts w:cstheme="minorHAnsi"/>
        </w:rPr>
        <w:t>3729(b)(4) of title 31, United States Code;</w:t>
      </w:r>
    </w:p>
    <w:p w14:paraId="4EFC3226" w14:textId="248DB0D6" w:rsidR="00FE5581" w:rsidRPr="000667F2" w:rsidRDefault="00FE5581" w:rsidP="009628FF">
      <w:pPr>
        <w:pStyle w:val="ListParagraph"/>
        <w:numPr>
          <w:ilvl w:val="0"/>
          <w:numId w:val="4"/>
        </w:numPr>
        <w:autoSpaceDE w:val="0"/>
        <w:autoSpaceDN w:val="0"/>
        <w:adjustRightInd w:val="0"/>
        <w:spacing w:after="0" w:line="240" w:lineRule="auto"/>
        <w:rPr>
          <w:rFonts w:cstheme="minorHAnsi"/>
        </w:rPr>
      </w:pPr>
      <w:r w:rsidRPr="000667F2">
        <w:rPr>
          <w:rFonts w:cstheme="minorHAnsi"/>
        </w:rPr>
        <w:t>The Recipient certifies that it does not operate any programs that violate any applicable Federal</w:t>
      </w:r>
    </w:p>
    <w:p w14:paraId="3C1CAB01"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anti-discrimination laws, including Title VI of the Civil Rights Act of 1964;</w:t>
      </w:r>
    </w:p>
    <w:p w14:paraId="32D91EFB" w14:textId="08BE2963" w:rsidR="00FE5581" w:rsidRPr="000667F2" w:rsidRDefault="00FE5581" w:rsidP="009628FF">
      <w:pPr>
        <w:pStyle w:val="ListParagraph"/>
        <w:numPr>
          <w:ilvl w:val="0"/>
          <w:numId w:val="4"/>
        </w:numPr>
        <w:autoSpaceDE w:val="0"/>
        <w:autoSpaceDN w:val="0"/>
        <w:adjustRightInd w:val="0"/>
        <w:spacing w:after="0" w:line="240" w:lineRule="auto"/>
        <w:rPr>
          <w:rFonts w:cstheme="minorHAnsi"/>
        </w:rPr>
      </w:pPr>
      <w:r w:rsidRPr="000667F2">
        <w:rPr>
          <w:rFonts w:cstheme="minorHAnsi"/>
        </w:rPr>
        <w:t>The Recipient shall not use any grant funds to fund or promote elective abortions, as required by</w:t>
      </w:r>
    </w:p>
    <w:p w14:paraId="4E863FF3"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E.O. 14182, Enforcing the Hyde Amendment; and that,</w:t>
      </w:r>
    </w:p>
    <w:p w14:paraId="0F503309" w14:textId="096E8549" w:rsidR="00FE5581" w:rsidRPr="000667F2" w:rsidRDefault="00FE5581" w:rsidP="009628FF">
      <w:pPr>
        <w:pStyle w:val="ListParagraph"/>
        <w:numPr>
          <w:ilvl w:val="0"/>
          <w:numId w:val="4"/>
        </w:numPr>
        <w:autoSpaceDE w:val="0"/>
        <w:autoSpaceDN w:val="0"/>
        <w:adjustRightInd w:val="0"/>
        <w:spacing w:after="0" w:line="240" w:lineRule="auto"/>
        <w:rPr>
          <w:rFonts w:cstheme="minorHAnsi"/>
        </w:rPr>
      </w:pPr>
      <w:r w:rsidRPr="000667F2">
        <w:rPr>
          <w:rFonts w:cstheme="minorHAnsi"/>
        </w:rPr>
        <w:t>Notwithstanding anything in the NOFO or Application, this Grant shall not be governed by Executive</w:t>
      </w:r>
    </w:p>
    <w:p w14:paraId="12C28703"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Orders revoked by E.O. 14154, including E.O. 14008, or NOFO requirements implementing</w:t>
      </w:r>
    </w:p>
    <w:p w14:paraId="4BC22E0B"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Executive Orders that have been revoked.</w:t>
      </w:r>
    </w:p>
    <w:p w14:paraId="736D3F6C" w14:textId="57CCD0F8" w:rsidR="00FE5581" w:rsidRPr="000667F2" w:rsidRDefault="00FE5581" w:rsidP="009628FF">
      <w:pPr>
        <w:pStyle w:val="ListParagraph"/>
        <w:numPr>
          <w:ilvl w:val="0"/>
          <w:numId w:val="4"/>
        </w:numPr>
        <w:autoSpaceDE w:val="0"/>
        <w:autoSpaceDN w:val="0"/>
        <w:adjustRightInd w:val="0"/>
        <w:spacing w:after="0" w:line="240" w:lineRule="auto"/>
        <w:rPr>
          <w:rFonts w:cstheme="minorHAnsi"/>
        </w:rPr>
      </w:pPr>
      <w:r w:rsidRPr="000667F2">
        <w:rPr>
          <w:rFonts w:cstheme="minorHAnsi"/>
        </w:rPr>
        <w:t>The Recipient must administer its grant in accordance with all applicable immigration restrictions</w:t>
      </w:r>
    </w:p>
    <w:p w14:paraId="412713DC"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and requirements, including the eligibility and verification requirements that apply under title IV of</w:t>
      </w:r>
    </w:p>
    <w:p w14:paraId="1331C20E"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the Personal Responsibility and Work Opportunity Reconciliation Act of 1996, as amended (8 U.S,C.</w:t>
      </w:r>
    </w:p>
    <w:p w14:paraId="76EE5279"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1601-1646) (PRWORA) and any applicable requirements that HUD, the Attorney General, or the U.S.</w:t>
      </w:r>
    </w:p>
    <w:p w14:paraId="2FDEDF6C"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Citizenship and Immigration Services may establish from time to time to comply with PRWORA,</w:t>
      </w:r>
    </w:p>
    <w:p w14:paraId="142E08A1" w14:textId="21E8D13A" w:rsidR="00FE5581" w:rsidRPr="000667F2" w:rsidRDefault="00FE5581" w:rsidP="00FE5581">
      <w:pPr>
        <w:autoSpaceDE w:val="0"/>
        <w:autoSpaceDN w:val="0"/>
        <w:adjustRightInd w:val="0"/>
        <w:spacing w:after="0" w:line="240" w:lineRule="auto"/>
        <w:rPr>
          <w:rFonts w:cstheme="minorHAnsi"/>
        </w:rPr>
      </w:pPr>
      <w:r w:rsidRPr="000667F2">
        <w:rPr>
          <w:rFonts w:cstheme="minorHAnsi"/>
        </w:rPr>
        <w:t>Exe</w:t>
      </w:r>
      <w:r w:rsidR="00842F3B" w:rsidRPr="000667F2">
        <w:rPr>
          <w:rFonts w:cstheme="minorHAnsi"/>
        </w:rPr>
        <w:t>c</w:t>
      </w:r>
      <w:r w:rsidRPr="000667F2">
        <w:rPr>
          <w:rFonts w:cstheme="minorHAnsi"/>
        </w:rPr>
        <w:t>utive Order 14218, or other Executive Orders or immigration laws.</w:t>
      </w:r>
    </w:p>
    <w:p w14:paraId="450DCC86" w14:textId="06066BDF" w:rsidR="00FE5581" w:rsidRPr="000667F2" w:rsidRDefault="00FE5581" w:rsidP="009628FF">
      <w:pPr>
        <w:pStyle w:val="ListParagraph"/>
        <w:numPr>
          <w:ilvl w:val="0"/>
          <w:numId w:val="4"/>
        </w:numPr>
        <w:autoSpaceDE w:val="0"/>
        <w:autoSpaceDN w:val="0"/>
        <w:adjustRightInd w:val="0"/>
        <w:spacing w:after="0" w:line="240" w:lineRule="auto"/>
        <w:rPr>
          <w:rFonts w:cstheme="minorHAnsi"/>
        </w:rPr>
      </w:pPr>
      <w:r w:rsidRPr="000667F2">
        <w:rPr>
          <w:rFonts w:cstheme="minorHAnsi"/>
        </w:rPr>
        <w:t>No state or unit of general local government</w:t>
      </w:r>
      <w:r w:rsidR="00842F3B" w:rsidRPr="000667F2">
        <w:rPr>
          <w:rFonts w:cstheme="minorHAnsi"/>
        </w:rPr>
        <w:t xml:space="preserve"> </w:t>
      </w:r>
      <w:r w:rsidRPr="000667F2">
        <w:rPr>
          <w:rFonts w:cstheme="minorHAnsi"/>
        </w:rPr>
        <w:t>that receives funding under</w:t>
      </w:r>
      <w:r w:rsidR="00842F3B" w:rsidRPr="000667F2">
        <w:rPr>
          <w:rFonts w:cstheme="minorHAnsi"/>
        </w:rPr>
        <w:t xml:space="preserve"> </w:t>
      </w:r>
      <w:r w:rsidRPr="000667F2">
        <w:rPr>
          <w:rFonts w:cstheme="minorHAnsi"/>
        </w:rPr>
        <w:t>this grant may use that</w:t>
      </w:r>
    </w:p>
    <w:p w14:paraId="3D6C07D2" w14:textId="1633C387" w:rsidR="00FE5581" w:rsidRPr="000667F2" w:rsidRDefault="00FE5581" w:rsidP="00FE5581">
      <w:pPr>
        <w:autoSpaceDE w:val="0"/>
        <w:autoSpaceDN w:val="0"/>
        <w:adjustRightInd w:val="0"/>
        <w:spacing w:after="0" w:line="240" w:lineRule="auto"/>
        <w:rPr>
          <w:rFonts w:cstheme="minorHAnsi"/>
        </w:rPr>
      </w:pPr>
      <w:r w:rsidRPr="000667F2">
        <w:rPr>
          <w:rFonts w:cstheme="minorHAnsi"/>
        </w:rPr>
        <w:t>funding in a manner that by design or effect</w:t>
      </w:r>
      <w:r w:rsidR="00842F3B" w:rsidRPr="000667F2">
        <w:rPr>
          <w:rFonts w:cstheme="minorHAnsi"/>
        </w:rPr>
        <w:t xml:space="preserve"> </w:t>
      </w:r>
      <w:r w:rsidRPr="000667F2">
        <w:rPr>
          <w:rFonts w:cstheme="minorHAnsi"/>
        </w:rPr>
        <w:t>facilitates the subsidization or promotion of illegal</w:t>
      </w:r>
    </w:p>
    <w:p w14:paraId="7474E6A4"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immigration or shields illegal aliens from deportation, including by maintaining policies or practices</w:t>
      </w:r>
    </w:p>
    <w:p w14:paraId="43C11C3C"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that materially impede enforcement of federal immigration statutes and regulations.</w:t>
      </w:r>
    </w:p>
    <w:p w14:paraId="626510F9" w14:textId="18EF933D" w:rsidR="00FE5581" w:rsidRPr="000667F2" w:rsidRDefault="00FE5581" w:rsidP="009628FF">
      <w:pPr>
        <w:pStyle w:val="ListParagraph"/>
        <w:numPr>
          <w:ilvl w:val="0"/>
          <w:numId w:val="4"/>
        </w:numPr>
        <w:autoSpaceDE w:val="0"/>
        <w:autoSpaceDN w:val="0"/>
        <w:adjustRightInd w:val="0"/>
        <w:spacing w:after="0" w:line="240" w:lineRule="auto"/>
        <w:rPr>
          <w:rFonts w:cstheme="minorHAnsi"/>
        </w:rPr>
      </w:pPr>
      <w:r w:rsidRPr="000667F2">
        <w:rPr>
          <w:rFonts w:cstheme="minorHAnsi"/>
        </w:rPr>
        <w:t>The Recipient must use SAVE, or an equivalent</w:t>
      </w:r>
      <w:r w:rsidR="00842F3B" w:rsidRPr="000667F2">
        <w:rPr>
          <w:rFonts w:cstheme="minorHAnsi"/>
        </w:rPr>
        <w:t xml:space="preserve"> </w:t>
      </w:r>
      <w:r w:rsidRPr="000667F2">
        <w:rPr>
          <w:rFonts w:cstheme="minorHAnsi"/>
        </w:rPr>
        <w:t>verification system approved by the Federal</w:t>
      </w:r>
    </w:p>
    <w:p w14:paraId="5A48FEDE"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government, to prevent any Federal public benefit from being provided to an ineligible alien who</w:t>
      </w:r>
    </w:p>
    <w:p w14:paraId="3D665F65"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entered the United States illegally or is otherwise unlawfully present in the United States.</w:t>
      </w:r>
    </w:p>
    <w:p w14:paraId="1B6669E1" w14:textId="4B583269" w:rsidR="00FE5581" w:rsidRPr="000667F2" w:rsidRDefault="00FE5581" w:rsidP="009628FF">
      <w:pPr>
        <w:pStyle w:val="ListParagraph"/>
        <w:numPr>
          <w:ilvl w:val="0"/>
          <w:numId w:val="4"/>
        </w:numPr>
        <w:autoSpaceDE w:val="0"/>
        <w:autoSpaceDN w:val="0"/>
        <w:adjustRightInd w:val="0"/>
        <w:spacing w:after="0" w:line="240" w:lineRule="auto"/>
        <w:rPr>
          <w:rFonts w:cstheme="minorHAnsi"/>
        </w:rPr>
      </w:pPr>
      <w:r w:rsidRPr="000667F2">
        <w:rPr>
          <w:rFonts w:cstheme="minorHAnsi"/>
        </w:rPr>
        <w:lastRenderedPageBreak/>
        <w:t>Faith-based organizations may be subrecipients for</w:t>
      </w:r>
      <w:r w:rsidR="00842F3B" w:rsidRPr="000667F2">
        <w:rPr>
          <w:rFonts w:cstheme="minorHAnsi"/>
        </w:rPr>
        <w:t xml:space="preserve"> </w:t>
      </w:r>
      <w:r w:rsidRPr="000667F2">
        <w:rPr>
          <w:rFonts w:cstheme="minorHAnsi"/>
        </w:rPr>
        <w:t>funds on the same basis as any other</w:t>
      </w:r>
    </w:p>
    <w:p w14:paraId="42F89B74" w14:textId="77777777" w:rsidR="00FE5581" w:rsidRPr="000667F2" w:rsidRDefault="00FE5581" w:rsidP="00FE5581">
      <w:pPr>
        <w:autoSpaceDE w:val="0"/>
        <w:autoSpaceDN w:val="0"/>
        <w:adjustRightInd w:val="0"/>
        <w:spacing w:after="0" w:line="240" w:lineRule="auto"/>
        <w:rPr>
          <w:rFonts w:cstheme="minorHAnsi"/>
        </w:rPr>
      </w:pPr>
      <w:r w:rsidRPr="000667F2">
        <w:rPr>
          <w:rFonts w:cstheme="minorHAnsi"/>
        </w:rPr>
        <w:t>organization. Recipients may not, in the selection of subrecipients, discriminate against an</w:t>
      </w:r>
    </w:p>
    <w:p w14:paraId="208A0916" w14:textId="71424504" w:rsidR="00BB11AA" w:rsidRPr="000667F2" w:rsidRDefault="00FE5581" w:rsidP="00FE5581">
      <w:pPr>
        <w:rPr>
          <w:rFonts w:cstheme="minorHAnsi"/>
        </w:rPr>
      </w:pPr>
      <w:r w:rsidRPr="000667F2">
        <w:rPr>
          <w:rFonts w:cstheme="minorHAnsi"/>
        </w:rPr>
        <w:t>organization based on the organization’s religious character, affiliation, or exercise.</w:t>
      </w:r>
    </w:p>
    <w:p w14:paraId="6D997755" w14:textId="4047CD88" w:rsidR="00C37F99" w:rsidRPr="000667F2" w:rsidRDefault="00C37F99" w:rsidP="00FE5581">
      <w:pPr>
        <w:rPr>
          <w:rFonts w:cstheme="minorHAnsi"/>
          <w:b/>
          <w:bCs/>
        </w:rPr>
      </w:pPr>
      <w:r w:rsidRPr="000667F2">
        <w:rPr>
          <w:rFonts w:cstheme="minorHAnsi"/>
          <w:b/>
          <w:bCs/>
        </w:rPr>
        <w:t>Assistance Listing 14.218, Community Development Block Grant Program for Entitlement Communities:</w:t>
      </w:r>
    </w:p>
    <w:p w14:paraId="48502083" w14:textId="05080D3B" w:rsidR="00C37F99" w:rsidRPr="000667F2" w:rsidRDefault="00C37F99" w:rsidP="009628FF">
      <w:pPr>
        <w:pStyle w:val="ListParagraph"/>
        <w:numPr>
          <w:ilvl w:val="0"/>
          <w:numId w:val="2"/>
        </w:numPr>
        <w:autoSpaceDE w:val="0"/>
        <w:autoSpaceDN w:val="0"/>
        <w:adjustRightInd w:val="0"/>
        <w:spacing w:after="0" w:line="240" w:lineRule="auto"/>
        <w:rPr>
          <w:rFonts w:cstheme="minorHAnsi"/>
        </w:rPr>
      </w:pPr>
      <w:r w:rsidRPr="000667F2">
        <w:rPr>
          <w:rFonts w:cstheme="minorHAnsi"/>
        </w:rPr>
        <w:t>Environmental Review. The Recipient agrees to assume all the responsibilities for environmental</w:t>
      </w:r>
    </w:p>
    <w:p w14:paraId="44FC2BFD"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review, decision making, and actions, as specified and required in regulations issued by the</w:t>
      </w:r>
    </w:p>
    <w:p w14:paraId="1930600E"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 xml:space="preserve">Secretary pursuant to section 104(g) of title </w:t>
      </w:r>
      <w:proofErr w:type="spellStart"/>
      <w:r w:rsidRPr="000667F2">
        <w:rPr>
          <w:rFonts w:cstheme="minorHAnsi"/>
        </w:rPr>
        <w:t>i</w:t>
      </w:r>
      <w:proofErr w:type="spellEnd"/>
      <w:r w:rsidRPr="000667F2">
        <w:rPr>
          <w:rFonts w:cstheme="minorHAnsi"/>
        </w:rPr>
        <w:t xml:space="preserve"> of the Housing and Community Development Act of</w:t>
      </w:r>
    </w:p>
    <w:p w14:paraId="6FE1B613"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1974 and published in 24 C.F.R. part 58; except that if the Recipient is a state, the Recipient must</w:t>
      </w:r>
    </w:p>
    <w:p w14:paraId="4112F18F"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require the unit of general local government to assume that responsibility and must comply with the</w:t>
      </w:r>
    </w:p>
    <w:p w14:paraId="0EC9E221"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state's responsibilities under 24 C.F.R. 58.4.</w:t>
      </w:r>
    </w:p>
    <w:p w14:paraId="56116203" w14:textId="2E048854" w:rsidR="00C37F99" w:rsidRPr="00D4576F" w:rsidRDefault="00C37F99" w:rsidP="00C37F99">
      <w:pPr>
        <w:pStyle w:val="ListParagraph"/>
        <w:numPr>
          <w:ilvl w:val="0"/>
          <w:numId w:val="2"/>
        </w:numPr>
        <w:autoSpaceDE w:val="0"/>
        <w:autoSpaceDN w:val="0"/>
        <w:adjustRightInd w:val="0"/>
        <w:spacing w:after="0" w:line="240" w:lineRule="auto"/>
        <w:rPr>
          <w:rFonts w:cstheme="minorHAnsi"/>
        </w:rPr>
      </w:pPr>
      <w:r w:rsidRPr="000667F2">
        <w:rPr>
          <w:rFonts w:cstheme="minorHAnsi"/>
        </w:rPr>
        <w:t>Public Use. The Recipient shall ensure that no CDBG funds are used to support any Federal, State,</w:t>
      </w:r>
      <w:r w:rsidR="00D4576F">
        <w:rPr>
          <w:rFonts w:cstheme="minorHAnsi"/>
        </w:rPr>
        <w:t xml:space="preserve"> </w:t>
      </w:r>
      <w:r w:rsidRPr="00D4576F">
        <w:rPr>
          <w:rFonts w:cstheme="minorHAnsi"/>
        </w:rPr>
        <w:t>or local projects that seek</w:t>
      </w:r>
      <w:r w:rsidR="009628FF" w:rsidRPr="00D4576F">
        <w:rPr>
          <w:rFonts w:cstheme="minorHAnsi"/>
        </w:rPr>
        <w:t xml:space="preserve"> </w:t>
      </w:r>
      <w:r w:rsidRPr="00D4576F">
        <w:rPr>
          <w:rFonts w:cstheme="minorHAnsi"/>
        </w:rPr>
        <w:t>to use the power of eminent domain, unless eminent domain is</w:t>
      </w:r>
    </w:p>
    <w:p w14:paraId="73E9F7B6" w14:textId="5D2D7BEA" w:rsidR="00C37F99" w:rsidRPr="000667F2" w:rsidRDefault="00C37F99" w:rsidP="00C37F99">
      <w:pPr>
        <w:autoSpaceDE w:val="0"/>
        <w:autoSpaceDN w:val="0"/>
        <w:adjustRightInd w:val="0"/>
        <w:spacing w:after="0" w:line="240" w:lineRule="auto"/>
        <w:rPr>
          <w:rFonts w:cstheme="minorHAnsi"/>
        </w:rPr>
      </w:pPr>
      <w:r w:rsidRPr="000667F2">
        <w:rPr>
          <w:rFonts w:cstheme="minorHAnsi"/>
        </w:rPr>
        <w:t>employed only</w:t>
      </w:r>
      <w:r w:rsidR="009628FF" w:rsidRPr="000667F2">
        <w:rPr>
          <w:rFonts w:cstheme="minorHAnsi"/>
        </w:rPr>
        <w:t xml:space="preserve"> </w:t>
      </w:r>
      <w:r w:rsidRPr="000667F2">
        <w:rPr>
          <w:rFonts w:cstheme="minorHAnsi"/>
        </w:rPr>
        <w:t>for public use. For</w:t>
      </w:r>
      <w:r w:rsidR="009628FF" w:rsidRPr="000667F2">
        <w:rPr>
          <w:rFonts w:cstheme="minorHAnsi"/>
        </w:rPr>
        <w:t xml:space="preserve"> </w:t>
      </w:r>
      <w:r w:rsidRPr="000667F2">
        <w:rPr>
          <w:rFonts w:cstheme="minorHAnsi"/>
        </w:rPr>
        <w:t>the purposes of this requirement, public use shall not be</w:t>
      </w:r>
    </w:p>
    <w:p w14:paraId="71D0ED29"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construed to include economic development that primarily benefits private entities. Any use of</w:t>
      </w:r>
    </w:p>
    <w:p w14:paraId="77273B65"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funds for mass transit, railroad, airport, seaport, or highway projects as well as utility projects that</w:t>
      </w:r>
    </w:p>
    <w:p w14:paraId="371E9B7C"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benefit or serve the general public (including energy—, communication-, water-, and wastewater—</w:t>
      </w:r>
    </w:p>
    <w:p w14:paraId="2C3FBF63"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related infrastructure), other structures designated for use by the general public or which have other</w:t>
      </w:r>
    </w:p>
    <w:p w14:paraId="249DFC8D"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common-carrier or public-utility functions that serve the general public and are subject to</w:t>
      </w:r>
    </w:p>
    <w:p w14:paraId="5BEE80EB" w14:textId="04940ED1" w:rsidR="00C37F99" w:rsidRPr="000667F2" w:rsidRDefault="00C37F99" w:rsidP="00C37F99">
      <w:pPr>
        <w:autoSpaceDE w:val="0"/>
        <w:autoSpaceDN w:val="0"/>
        <w:adjustRightInd w:val="0"/>
        <w:spacing w:after="0" w:line="240" w:lineRule="auto"/>
        <w:rPr>
          <w:rFonts w:cstheme="minorHAnsi"/>
        </w:rPr>
      </w:pPr>
      <w:r w:rsidRPr="000667F2">
        <w:rPr>
          <w:rFonts w:cstheme="minorHAnsi"/>
        </w:rPr>
        <w:t>regulation and oversight by</w:t>
      </w:r>
      <w:r w:rsidR="009628FF" w:rsidRPr="000667F2">
        <w:rPr>
          <w:rFonts w:cstheme="minorHAnsi"/>
        </w:rPr>
        <w:t xml:space="preserve"> </w:t>
      </w:r>
      <w:r w:rsidRPr="000667F2">
        <w:rPr>
          <w:rFonts w:cstheme="minorHAnsi"/>
        </w:rPr>
        <w:t>the government, and projects for the removal of an immediate threat</w:t>
      </w:r>
      <w:r w:rsidR="009628FF" w:rsidRPr="000667F2">
        <w:rPr>
          <w:rFonts w:cstheme="minorHAnsi"/>
        </w:rPr>
        <w:t xml:space="preserve"> </w:t>
      </w:r>
      <w:r w:rsidRPr="000667F2">
        <w:rPr>
          <w:rFonts w:cstheme="minorHAnsi"/>
        </w:rPr>
        <w:t>to</w:t>
      </w:r>
    </w:p>
    <w:p w14:paraId="67D48D16"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public health and safety or brownfield as defined in the Small Business Liability Relief and</w:t>
      </w:r>
    </w:p>
    <w:p w14:paraId="60357D66"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Brownfields Revitalization Act (Pub. Law No. 107—118) shall be considered a public use for purposes</w:t>
      </w:r>
    </w:p>
    <w:p w14:paraId="7F18AE48"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of eminent domain.</w:t>
      </w:r>
    </w:p>
    <w:p w14:paraId="70E30680" w14:textId="65397A19" w:rsidR="00C37F99" w:rsidRPr="000667F2" w:rsidRDefault="00C37F99" w:rsidP="009628FF">
      <w:pPr>
        <w:pStyle w:val="ListParagraph"/>
        <w:numPr>
          <w:ilvl w:val="0"/>
          <w:numId w:val="2"/>
        </w:numPr>
        <w:autoSpaceDE w:val="0"/>
        <w:autoSpaceDN w:val="0"/>
        <w:adjustRightInd w:val="0"/>
        <w:spacing w:after="0" w:line="240" w:lineRule="auto"/>
        <w:rPr>
          <w:rFonts w:cstheme="minorHAnsi"/>
        </w:rPr>
      </w:pPr>
      <w:r w:rsidRPr="000667F2">
        <w:rPr>
          <w:rFonts w:cstheme="minorHAnsi"/>
        </w:rPr>
        <w:t>Prohibition on Selling, Trading, and Transferring Funds. The Recipient or unit of general local</w:t>
      </w:r>
    </w:p>
    <w:p w14:paraId="507D5090"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government that directly or indirectly receives CDBG funds may not sell, trade, or otherwise transfer</w:t>
      </w:r>
    </w:p>
    <w:p w14:paraId="72888C16" w14:textId="44606147" w:rsidR="00C37F99" w:rsidRPr="000667F2" w:rsidRDefault="00C37F99" w:rsidP="00C37F99">
      <w:pPr>
        <w:autoSpaceDE w:val="0"/>
        <w:autoSpaceDN w:val="0"/>
        <w:adjustRightInd w:val="0"/>
        <w:spacing w:after="0" w:line="240" w:lineRule="auto"/>
        <w:rPr>
          <w:rFonts w:cstheme="minorHAnsi"/>
        </w:rPr>
      </w:pPr>
      <w:r w:rsidRPr="000667F2">
        <w:rPr>
          <w:rFonts w:cstheme="minorHAnsi"/>
        </w:rPr>
        <w:t>all or any such portion of such funds to another such entity in exchange for any other</w:t>
      </w:r>
      <w:r w:rsidR="009628FF" w:rsidRPr="000667F2">
        <w:rPr>
          <w:rFonts w:cstheme="minorHAnsi"/>
        </w:rPr>
        <w:t xml:space="preserve"> </w:t>
      </w:r>
      <w:r w:rsidRPr="000667F2">
        <w:rPr>
          <w:rFonts w:cstheme="minorHAnsi"/>
        </w:rPr>
        <w:t>funds, credits</w:t>
      </w:r>
    </w:p>
    <w:p w14:paraId="7B7317C8" w14:textId="079E8514" w:rsidR="00C37F99" w:rsidRPr="000667F2" w:rsidRDefault="00C37F99" w:rsidP="00C37F99">
      <w:pPr>
        <w:autoSpaceDE w:val="0"/>
        <w:autoSpaceDN w:val="0"/>
        <w:adjustRightInd w:val="0"/>
        <w:spacing w:after="0" w:line="240" w:lineRule="auto"/>
        <w:rPr>
          <w:rFonts w:cstheme="minorHAnsi"/>
        </w:rPr>
      </w:pPr>
      <w:r w:rsidRPr="000667F2">
        <w:rPr>
          <w:rFonts w:cstheme="minorHAnsi"/>
        </w:rPr>
        <w:t>or non-Federal considerations, but must use such funds for activities eligible under</w:t>
      </w:r>
      <w:r w:rsidR="009628FF" w:rsidRPr="000667F2">
        <w:rPr>
          <w:rFonts w:cstheme="minorHAnsi"/>
        </w:rPr>
        <w:t xml:space="preserve"> </w:t>
      </w:r>
      <w:r w:rsidRPr="000667F2">
        <w:rPr>
          <w:rFonts w:cstheme="minorHAnsi"/>
        </w:rPr>
        <w:t xml:space="preserve">title </w:t>
      </w:r>
      <w:r w:rsidR="009628FF" w:rsidRPr="000667F2">
        <w:rPr>
          <w:rFonts w:cstheme="minorHAnsi"/>
        </w:rPr>
        <w:t>I</w:t>
      </w:r>
      <w:r w:rsidRPr="000667F2">
        <w:rPr>
          <w:rFonts w:cstheme="minorHAnsi"/>
        </w:rPr>
        <w:t xml:space="preserve"> of</w:t>
      </w:r>
      <w:r w:rsidR="009628FF" w:rsidRPr="000667F2">
        <w:rPr>
          <w:rFonts w:cstheme="minorHAnsi"/>
        </w:rPr>
        <w:t xml:space="preserve"> </w:t>
      </w:r>
      <w:r w:rsidRPr="000667F2">
        <w:rPr>
          <w:rFonts w:cstheme="minorHAnsi"/>
        </w:rPr>
        <w:t>the</w:t>
      </w:r>
    </w:p>
    <w:p w14:paraId="09645429" w14:textId="07958232" w:rsidR="00C37F99" w:rsidRPr="000667F2" w:rsidRDefault="00C37F99" w:rsidP="00C37F99">
      <w:pPr>
        <w:autoSpaceDE w:val="0"/>
        <w:autoSpaceDN w:val="0"/>
        <w:adjustRightInd w:val="0"/>
        <w:spacing w:after="0" w:line="240" w:lineRule="auto"/>
        <w:rPr>
          <w:rFonts w:cstheme="minorHAnsi"/>
        </w:rPr>
      </w:pPr>
      <w:r w:rsidRPr="000667F2">
        <w:rPr>
          <w:rFonts w:cstheme="minorHAnsi"/>
        </w:rPr>
        <w:t>Housing and Community Development Act of 1974.</w:t>
      </w:r>
    </w:p>
    <w:p w14:paraId="0DB06D5E" w14:textId="77777777" w:rsidR="009628FF" w:rsidRPr="000667F2" w:rsidRDefault="009628FF" w:rsidP="00C37F99">
      <w:pPr>
        <w:autoSpaceDE w:val="0"/>
        <w:autoSpaceDN w:val="0"/>
        <w:adjustRightInd w:val="0"/>
        <w:spacing w:after="0" w:line="240" w:lineRule="auto"/>
        <w:rPr>
          <w:rFonts w:cstheme="minorHAnsi"/>
        </w:rPr>
      </w:pPr>
    </w:p>
    <w:p w14:paraId="40950AAC" w14:textId="306F7115" w:rsidR="00C37F99" w:rsidRPr="00D4576F" w:rsidRDefault="00C37F99" w:rsidP="00D4576F">
      <w:pPr>
        <w:pStyle w:val="ListParagraph"/>
        <w:numPr>
          <w:ilvl w:val="0"/>
          <w:numId w:val="2"/>
        </w:numPr>
        <w:autoSpaceDE w:val="0"/>
        <w:autoSpaceDN w:val="0"/>
        <w:adjustRightInd w:val="0"/>
        <w:spacing w:after="0" w:line="240" w:lineRule="auto"/>
        <w:ind w:left="0" w:firstLine="360"/>
        <w:rPr>
          <w:rFonts w:cstheme="minorHAnsi"/>
        </w:rPr>
      </w:pPr>
      <w:r w:rsidRPr="000667F2">
        <w:rPr>
          <w:rFonts w:cstheme="minorHAnsi"/>
        </w:rPr>
        <w:t>Construction of Water</w:t>
      </w:r>
      <w:r w:rsidR="009628FF" w:rsidRPr="000667F2">
        <w:rPr>
          <w:rFonts w:cstheme="minorHAnsi"/>
        </w:rPr>
        <w:t xml:space="preserve"> </w:t>
      </w:r>
      <w:r w:rsidRPr="000667F2">
        <w:rPr>
          <w:rFonts w:cstheme="minorHAnsi"/>
        </w:rPr>
        <w:t>and Sewer Facilities. Notwithstanding any other provision of this</w:t>
      </w:r>
      <w:r w:rsidR="00D4576F">
        <w:rPr>
          <w:rFonts w:cstheme="minorHAnsi"/>
        </w:rPr>
        <w:t xml:space="preserve"> </w:t>
      </w:r>
      <w:r w:rsidRPr="000667F2">
        <w:rPr>
          <w:rFonts w:cstheme="minorHAnsi"/>
        </w:rPr>
        <w:t>agreement,</w:t>
      </w:r>
      <w:r w:rsidR="00D4576F">
        <w:rPr>
          <w:rFonts w:cstheme="minorHAnsi"/>
        </w:rPr>
        <w:t xml:space="preserve"> </w:t>
      </w:r>
      <w:r w:rsidRPr="00D4576F">
        <w:rPr>
          <w:rFonts w:cstheme="minorHAnsi"/>
        </w:rPr>
        <w:t>the Recipient may not obligate or expend award funds to plan or construct water or sewer facilities,</w:t>
      </w:r>
      <w:r w:rsidR="00D4576F">
        <w:rPr>
          <w:rFonts w:cstheme="minorHAnsi"/>
        </w:rPr>
        <w:t xml:space="preserve"> </w:t>
      </w:r>
      <w:r w:rsidRPr="00D4576F">
        <w:rPr>
          <w:rFonts w:cstheme="minorHAnsi"/>
        </w:rPr>
        <w:t>including any new or revised activities, until after 1) it completes the review procedures required</w:t>
      </w:r>
      <w:r w:rsidR="00D4576F">
        <w:rPr>
          <w:rFonts w:cstheme="minorHAnsi"/>
        </w:rPr>
        <w:t xml:space="preserve"> </w:t>
      </w:r>
      <w:r w:rsidRPr="00D4576F">
        <w:rPr>
          <w:rFonts w:cstheme="minorHAnsi"/>
        </w:rPr>
        <w:t>under Executive Order 12372, Intergovernmental Review of Federal Programs, and 24 C.F.R. part 52</w:t>
      </w:r>
      <w:r w:rsidR="00D4576F">
        <w:rPr>
          <w:rFonts w:cstheme="minorHAnsi"/>
        </w:rPr>
        <w:t xml:space="preserve"> </w:t>
      </w:r>
      <w:r w:rsidRPr="00D4576F">
        <w:rPr>
          <w:rFonts w:cstheme="minorHAnsi"/>
        </w:rPr>
        <w:t>and 2) HUD provides written notice of the release of funds.</w:t>
      </w:r>
    </w:p>
    <w:p w14:paraId="7925FECB" w14:textId="4835A019" w:rsidR="00C37F99" w:rsidRPr="00D4576F" w:rsidRDefault="00C37F99" w:rsidP="00D4576F">
      <w:pPr>
        <w:pStyle w:val="ListParagraph"/>
        <w:numPr>
          <w:ilvl w:val="0"/>
          <w:numId w:val="2"/>
        </w:numPr>
        <w:autoSpaceDE w:val="0"/>
        <w:autoSpaceDN w:val="0"/>
        <w:adjustRightInd w:val="0"/>
        <w:spacing w:after="0" w:line="240" w:lineRule="auto"/>
        <w:ind w:left="0" w:firstLine="360"/>
        <w:rPr>
          <w:rFonts w:cstheme="minorHAnsi"/>
        </w:rPr>
      </w:pPr>
      <w:r w:rsidRPr="000667F2">
        <w:rPr>
          <w:rFonts w:cstheme="minorHAnsi"/>
        </w:rPr>
        <w:t>Funds for For-Profit</w:t>
      </w:r>
      <w:r w:rsidR="009628FF" w:rsidRPr="000667F2">
        <w:rPr>
          <w:rFonts w:cstheme="minorHAnsi"/>
        </w:rPr>
        <w:t xml:space="preserve"> </w:t>
      </w:r>
      <w:r w:rsidRPr="000667F2">
        <w:rPr>
          <w:rFonts w:cstheme="minorHAnsi"/>
        </w:rPr>
        <w:t>Ent</w:t>
      </w:r>
      <w:r w:rsidR="009628FF" w:rsidRPr="000667F2">
        <w:rPr>
          <w:rFonts w:cstheme="minorHAnsi"/>
        </w:rPr>
        <w:t>i</w:t>
      </w:r>
      <w:r w:rsidRPr="000667F2">
        <w:rPr>
          <w:rFonts w:cstheme="minorHAnsi"/>
        </w:rPr>
        <w:t>ties. Under42 U.S.C. § 5305(a)(17), CDBG funds may not be provided to a</w:t>
      </w:r>
      <w:r w:rsidR="00D4576F">
        <w:rPr>
          <w:rFonts w:cstheme="minorHAnsi"/>
        </w:rPr>
        <w:t xml:space="preserve"> </w:t>
      </w:r>
      <w:r w:rsidRPr="00D4576F">
        <w:rPr>
          <w:rFonts w:cstheme="minorHAnsi"/>
        </w:rPr>
        <w:t>for-profit entity unless such activity or project has been evaluated and selected in accordance with</w:t>
      </w:r>
      <w:r w:rsidR="00D4576F">
        <w:rPr>
          <w:rFonts w:cstheme="minorHAnsi"/>
        </w:rPr>
        <w:t xml:space="preserve"> </w:t>
      </w:r>
      <w:r w:rsidRPr="00D4576F">
        <w:rPr>
          <w:rFonts w:cstheme="minorHAnsi"/>
        </w:rPr>
        <w:t>Appendix A to 24 C.F.R. § 570, Guidelines and Objectives for Evaluating Project Costs and Financial</w:t>
      </w:r>
      <w:r w:rsidR="00D4576F">
        <w:rPr>
          <w:rFonts w:cstheme="minorHAnsi"/>
        </w:rPr>
        <w:t xml:space="preserve"> </w:t>
      </w:r>
      <w:r w:rsidRPr="00D4576F">
        <w:rPr>
          <w:rFonts w:cstheme="minorHAnsi"/>
        </w:rPr>
        <w:t>Requirements.</w:t>
      </w:r>
    </w:p>
    <w:p w14:paraId="41ACB4A5" w14:textId="0024DD12" w:rsidR="00C37F99" w:rsidRPr="000667F2" w:rsidRDefault="00C37F99" w:rsidP="009628FF">
      <w:pPr>
        <w:pStyle w:val="ListParagraph"/>
        <w:numPr>
          <w:ilvl w:val="0"/>
          <w:numId w:val="2"/>
        </w:numPr>
        <w:autoSpaceDE w:val="0"/>
        <w:autoSpaceDN w:val="0"/>
        <w:adjustRightInd w:val="0"/>
        <w:spacing w:after="0" w:line="240" w:lineRule="auto"/>
        <w:rPr>
          <w:rFonts w:cstheme="minorHAnsi"/>
        </w:rPr>
      </w:pPr>
      <w:r w:rsidRPr="000667F2">
        <w:rPr>
          <w:rFonts w:cstheme="minorHAnsi"/>
        </w:rPr>
        <w:t>Violence Against Women Act. The Recipient will comply with the right to report crime and</w:t>
      </w:r>
    </w:p>
    <w:p w14:paraId="199B045F" w14:textId="77777777" w:rsidR="00C37F99" w:rsidRPr="000667F2" w:rsidRDefault="00C37F99" w:rsidP="00C37F99">
      <w:pPr>
        <w:autoSpaceDE w:val="0"/>
        <w:autoSpaceDN w:val="0"/>
        <w:adjustRightInd w:val="0"/>
        <w:spacing w:after="0" w:line="240" w:lineRule="auto"/>
        <w:rPr>
          <w:rFonts w:cstheme="minorHAnsi"/>
        </w:rPr>
      </w:pPr>
      <w:r w:rsidRPr="000667F2">
        <w:rPr>
          <w:rFonts w:cstheme="minorHAnsi"/>
        </w:rPr>
        <w:t>emergencies protections at 34 U.S.C. § 12495 of the Violence Against Women Act.</w:t>
      </w:r>
    </w:p>
    <w:p w14:paraId="08DB5B5F" w14:textId="77777777" w:rsidR="009628FF" w:rsidRPr="000667F2" w:rsidRDefault="009628FF" w:rsidP="00C37F99">
      <w:pPr>
        <w:autoSpaceDE w:val="0"/>
        <w:autoSpaceDN w:val="0"/>
        <w:adjustRightInd w:val="0"/>
        <w:spacing w:after="0" w:line="240" w:lineRule="auto"/>
        <w:rPr>
          <w:rFonts w:cstheme="minorHAnsi"/>
        </w:rPr>
      </w:pPr>
    </w:p>
    <w:p w14:paraId="581A46EA" w14:textId="77777777" w:rsidR="00C37F99" w:rsidRPr="000667F2" w:rsidRDefault="00C37F99" w:rsidP="00C37F99">
      <w:pPr>
        <w:autoSpaceDE w:val="0"/>
        <w:autoSpaceDN w:val="0"/>
        <w:adjustRightInd w:val="0"/>
        <w:spacing w:after="0" w:line="240" w:lineRule="auto"/>
        <w:rPr>
          <w:rFonts w:cstheme="minorHAnsi"/>
          <w:b/>
          <w:bCs/>
        </w:rPr>
      </w:pPr>
      <w:r w:rsidRPr="000667F2">
        <w:rPr>
          <w:rFonts w:cstheme="minorHAnsi"/>
          <w:b/>
          <w:bCs/>
        </w:rPr>
        <w:t>U.S. Department of Housing and Urban Development Federal Award Agreement</w:t>
      </w:r>
    </w:p>
    <w:p w14:paraId="031F6B35" w14:textId="7F56C181" w:rsidR="00C37F99" w:rsidRPr="000667F2" w:rsidRDefault="00C37F99" w:rsidP="009628FF">
      <w:pPr>
        <w:pStyle w:val="ListParagraph"/>
        <w:numPr>
          <w:ilvl w:val="0"/>
          <w:numId w:val="2"/>
        </w:numPr>
        <w:autoSpaceDE w:val="0"/>
        <w:autoSpaceDN w:val="0"/>
        <w:adjustRightInd w:val="0"/>
        <w:spacing w:after="0" w:line="240" w:lineRule="auto"/>
        <w:rPr>
          <w:rFonts w:cstheme="minorHAnsi"/>
        </w:rPr>
      </w:pPr>
      <w:r w:rsidRPr="000667F2">
        <w:rPr>
          <w:rFonts w:cstheme="minorHAnsi"/>
        </w:rPr>
        <w:t>Funding Information and Period of Performance and Budget Period End Dates</w:t>
      </w:r>
    </w:p>
    <w:p w14:paraId="3E4A6A20" w14:textId="77777777" w:rsidR="009628FF" w:rsidRPr="000667F2" w:rsidRDefault="009628FF" w:rsidP="009628FF">
      <w:pPr>
        <w:pStyle w:val="ListParagraph"/>
        <w:autoSpaceDE w:val="0"/>
        <w:autoSpaceDN w:val="0"/>
        <w:adjustRightInd w:val="0"/>
        <w:spacing w:after="0" w:line="240" w:lineRule="auto"/>
        <w:rPr>
          <w:rFonts w:cstheme="minorHAnsi"/>
        </w:rPr>
      </w:pPr>
    </w:p>
    <w:p w14:paraId="67608ED1" w14:textId="1F99690D" w:rsidR="00C37F99" w:rsidRPr="000667F2" w:rsidRDefault="009628FF" w:rsidP="00C37F99">
      <w:pPr>
        <w:autoSpaceDE w:val="0"/>
        <w:autoSpaceDN w:val="0"/>
        <w:adjustRightInd w:val="0"/>
        <w:spacing w:after="0" w:line="240" w:lineRule="auto"/>
        <w:rPr>
          <w:rFonts w:cstheme="minorHAnsi"/>
          <w:b/>
          <w:bCs/>
        </w:rPr>
      </w:pPr>
      <w:r w:rsidRPr="000667F2">
        <w:rPr>
          <w:rFonts w:cstheme="minorHAnsi"/>
          <w:b/>
          <w:bCs/>
        </w:rPr>
        <w:t>Source Funds</w:t>
      </w:r>
      <w:r w:rsidRPr="000667F2">
        <w:rPr>
          <w:rFonts w:cstheme="minorHAnsi"/>
          <w:b/>
          <w:bCs/>
        </w:rPr>
        <w:tab/>
      </w:r>
      <w:r w:rsidR="00C37F99" w:rsidRPr="000667F2">
        <w:rPr>
          <w:rFonts w:cstheme="minorHAnsi"/>
          <w:b/>
          <w:bCs/>
        </w:rPr>
        <w:t xml:space="preserve"> </w:t>
      </w:r>
      <w:r w:rsidRPr="000667F2">
        <w:rPr>
          <w:rFonts w:cstheme="minorHAnsi"/>
          <w:b/>
          <w:bCs/>
        </w:rPr>
        <w:t>Amount</w:t>
      </w:r>
      <w:r w:rsidRPr="000667F2">
        <w:rPr>
          <w:rFonts w:cstheme="minorHAnsi"/>
          <w:b/>
          <w:bCs/>
        </w:rPr>
        <w:tab/>
      </w:r>
      <w:r w:rsidRPr="000667F2">
        <w:rPr>
          <w:rFonts w:cstheme="minorHAnsi"/>
          <w:b/>
          <w:bCs/>
        </w:rPr>
        <w:tab/>
        <w:t>Period of Performance End Date</w:t>
      </w:r>
      <w:r w:rsidRPr="000667F2">
        <w:rPr>
          <w:rFonts w:cstheme="minorHAnsi"/>
          <w:b/>
          <w:bCs/>
        </w:rPr>
        <w:tab/>
        <w:t>Budget Period End Date</w:t>
      </w:r>
    </w:p>
    <w:p w14:paraId="5614E487" w14:textId="517B5D62" w:rsidR="000667F2" w:rsidRPr="000667F2" w:rsidRDefault="009628FF" w:rsidP="000433E2">
      <w:pPr>
        <w:autoSpaceDE w:val="0"/>
        <w:autoSpaceDN w:val="0"/>
        <w:adjustRightInd w:val="0"/>
        <w:spacing w:after="0" w:line="240" w:lineRule="auto"/>
        <w:rPr>
          <w:rFonts w:cstheme="minorHAnsi"/>
        </w:rPr>
      </w:pPr>
      <w:r w:rsidRPr="000667F2">
        <w:rPr>
          <w:rFonts w:cstheme="minorHAnsi"/>
        </w:rPr>
        <w:lastRenderedPageBreak/>
        <w:t>2025</w:t>
      </w:r>
      <w:r w:rsidRPr="000667F2">
        <w:rPr>
          <w:rFonts w:cstheme="minorHAnsi"/>
        </w:rPr>
        <w:tab/>
      </w:r>
      <w:r w:rsidRPr="000667F2">
        <w:rPr>
          <w:rFonts w:cstheme="minorHAnsi"/>
        </w:rPr>
        <w:tab/>
      </w:r>
      <w:r w:rsidR="00C37F99" w:rsidRPr="000667F2">
        <w:rPr>
          <w:rFonts w:cstheme="minorHAnsi"/>
        </w:rPr>
        <w:t xml:space="preserve">$921,520.00 </w:t>
      </w:r>
      <w:r w:rsidRPr="000667F2">
        <w:rPr>
          <w:rFonts w:cstheme="minorHAnsi"/>
        </w:rPr>
        <w:tab/>
      </w:r>
      <w:r w:rsidR="000433E2">
        <w:rPr>
          <w:rFonts w:cstheme="minorHAnsi"/>
        </w:rPr>
        <w:tab/>
      </w:r>
      <w:r w:rsidR="00C37F99" w:rsidRPr="000667F2">
        <w:rPr>
          <w:rFonts w:cstheme="minorHAnsi"/>
        </w:rPr>
        <w:t xml:space="preserve">9/30/2033 </w:t>
      </w:r>
      <w:r w:rsidRPr="000667F2">
        <w:rPr>
          <w:rFonts w:cstheme="minorHAnsi"/>
        </w:rPr>
        <w:tab/>
      </w:r>
      <w:r w:rsidRPr="000667F2">
        <w:rPr>
          <w:rFonts w:cstheme="minorHAnsi"/>
        </w:rPr>
        <w:tab/>
      </w:r>
      <w:r w:rsidRPr="000667F2">
        <w:rPr>
          <w:rFonts w:cstheme="minorHAnsi"/>
        </w:rPr>
        <w:tab/>
      </w:r>
      <w:r w:rsidR="000433E2">
        <w:rPr>
          <w:rFonts w:cstheme="minorHAnsi"/>
        </w:rPr>
        <w:tab/>
      </w:r>
      <w:r w:rsidR="00C37F99" w:rsidRPr="000667F2">
        <w:rPr>
          <w:rFonts w:cstheme="minorHAnsi"/>
        </w:rPr>
        <w:t>9/30/2033</w:t>
      </w:r>
      <w:r w:rsidR="000667F2">
        <w:rPr>
          <w:rFonts w:cstheme="minorHAnsi"/>
        </w:rPr>
        <w:t xml:space="preserve"> </w:t>
      </w:r>
    </w:p>
    <w:sectPr w:rsidR="000667F2" w:rsidRPr="00066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F3B9A"/>
    <w:multiLevelType w:val="hybridMultilevel"/>
    <w:tmpl w:val="3EDE2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D57B07"/>
    <w:multiLevelType w:val="hybridMultilevel"/>
    <w:tmpl w:val="2EDC2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F1AA2"/>
    <w:multiLevelType w:val="hybridMultilevel"/>
    <w:tmpl w:val="70CEF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FD573E"/>
    <w:multiLevelType w:val="hybridMultilevel"/>
    <w:tmpl w:val="622A4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81"/>
    <w:rsid w:val="000433E2"/>
    <w:rsid w:val="000667F2"/>
    <w:rsid w:val="00260A91"/>
    <w:rsid w:val="00261BE8"/>
    <w:rsid w:val="002845A4"/>
    <w:rsid w:val="003248E8"/>
    <w:rsid w:val="00646327"/>
    <w:rsid w:val="006D7E85"/>
    <w:rsid w:val="00842F3B"/>
    <w:rsid w:val="009628FF"/>
    <w:rsid w:val="00C37F99"/>
    <w:rsid w:val="00C5761F"/>
    <w:rsid w:val="00D4576F"/>
    <w:rsid w:val="00F03906"/>
    <w:rsid w:val="00F65633"/>
    <w:rsid w:val="00FE5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F3DF5"/>
  <w15:chartTrackingRefBased/>
  <w15:docId w15:val="{DA161741-1786-4655-A154-81DBF325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925351">
      <w:bodyDiv w:val="1"/>
      <w:marLeft w:val="0"/>
      <w:marRight w:val="0"/>
      <w:marTop w:val="0"/>
      <w:marBottom w:val="0"/>
      <w:divBdr>
        <w:top w:val="none" w:sz="0" w:space="0" w:color="auto"/>
        <w:left w:val="none" w:sz="0" w:space="0" w:color="auto"/>
        <w:bottom w:val="none" w:sz="0" w:space="0" w:color="auto"/>
        <w:right w:val="none" w:sz="0" w:space="0" w:color="auto"/>
      </w:divBdr>
      <w:divsChild>
        <w:div w:id="226499388">
          <w:marLeft w:val="0"/>
          <w:marRight w:val="0"/>
          <w:marTop w:val="0"/>
          <w:marBottom w:val="0"/>
          <w:divBdr>
            <w:top w:val="none" w:sz="0" w:space="0" w:color="auto"/>
            <w:left w:val="none" w:sz="0" w:space="0" w:color="auto"/>
            <w:bottom w:val="none" w:sz="0" w:space="0" w:color="auto"/>
            <w:right w:val="none" w:sz="0" w:space="0" w:color="auto"/>
          </w:divBdr>
          <w:divsChild>
            <w:div w:id="2129618678">
              <w:marLeft w:val="0"/>
              <w:marRight w:val="0"/>
              <w:marTop w:val="0"/>
              <w:marBottom w:val="300"/>
              <w:divBdr>
                <w:top w:val="none" w:sz="0" w:space="0" w:color="auto"/>
                <w:left w:val="none" w:sz="0" w:space="0" w:color="auto"/>
                <w:bottom w:val="none" w:sz="0" w:space="0" w:color="auto"/>
                <w:right w:val="none" w:sz="0" w:space="0" w:color="auto"/>
              </w:divBdr>
              <w:divsChild>
                <w:div w:id="716588490">
                  <w:marLeft w:val="0"/>
                  <w:marRight w:val="0"/>
                  <w:marTop w:val="0"/>
                  <w:marBottom w:val="0"/>
                  <w:divBdr>
                    <w:top w:val="none" w:sz="0" w:space="0" w:color="auto"/>
                    <w:left w:val="none" w:sz="0" w:space="0" w:color="auto"/>
                    <w:bottom w:val="none" w:sz="0" w:space="0" w:color="auto"/>
                    <w:right w:val="none" w:sz="0" w:space="0" w:color="auto"/>
                  </w:divBdr>
                  <w:divsChild>
                    <w:div w:id="16949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61831">
          <w:marLeft w:val="0"/>
          <w:marRight w:val="0"/>
          <w:marTop w:val="0"/>
          <w:marBottom w:val="0"/>
          <w:divBdr>
            <w:top w:val="none" w:sz="0" w:space="0" w:color="auto"/>
            <w:left w:val="none" w:sz="0" w:space="0" w:color="auto"/>
            <w:bottom w:val="none" w:sz="0" w:space="0" w:color="auto"/>
            <w:right w:val="none" w:sz="0" w:space="0" w:color="auto"/>
          </w:divBdr>
          <w:divsChild>
            <w:div w:id="147290503">
              <w:marLeft w:val="0"/>
              <w:marRight w:val="0"/>
              <w:marTop w:val="0"/>
              <w:marBottom w:val="300"/>
              <w:divBdr>
                <w:top w:val="none" w:sz="0" w:space="0" w:color="auto"/>
                <w:left w:val="none" w:sz="0" w:space="0" w:color="auto"/>
                <w:bottom w:val="none" w:sz="0" w:space="0" w:color="auto"/>
                <w:right w:val="none" w:sz="0" w:space="0" w:color="auto"/>
              </w:divBdr>
              <w:divsChild>
                <w:div w:id="1713111747">
                  <w:marLeft w:val="0"/>
                  <w:marRight w:val="0"/>
                  <w:marTop w:val="0"/>
                  <w:marBottom w:val="0"/>
                  <w:divBdr>
                    <w:top w:val="none" w:sz="0" w:space="0" w:color="auto"/>
                    <w:left w:val="none" w:sz="0" w:space="0" w:color="auto"/>
                    <w:bottom w:val="none" w:sz="0" w:space="0" w:color="auto"/>
                    <w:right w:val="none" w:sz="0" w:space="0" w:color="auto"/>
                  </w:divBdr>
                  <w:divsChild>
                    <w:div w:id="15960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4065</TotalTime>
  <Pages>3</Pages>
  <Words>1103</Words>
  <Characters>6105</Characters>
  <Application>Microsoft Office Word</Application>
  <DocSecurity>0</DocSecurity>
  <Lines>93</Lines>
  <Paragraphs>73</Paragraphs>
  <ScaleCrop>false</ScaleCrop>
  <HeadingPairs>
    <vt:vector size="2" baseType="variant">
      <vt:variant>
        <vt:lpstr>Title</vt:lpstr>
      </vt:variant>
      <vt:variant>
        <vt:i4>1</vt:i4>
      </vt:variant>
    </vt:vector>
  </HeadingPairs>
  <TitlesOfParts>
    <vt:vector size="1" baseType="lpstr">
      <vt:lpstr/>
    </vt:vector>
  </TitlesOfParts>
  <Company>City of Fitchburg</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 Kimberly</dc:creator>
  <cp:keywords/>
  <dc:description/>
  <cp:lastModifiedBy>Leblanc, Kimberly</cp:lastModifiedBy>
  <cp:revision>3</cp:revision>
  <dcterms:created xsi:type="dcterms:W3CDTF">2025-11-03T16:31:00Z</dcterms:created>
  <dcterms:modified xsi:type="dcterms:W3CDTF">2025-11-03T16:40:00Z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5a5729eb-7bd8-40c7-a557-3160b77273f5</vt:lpwstr>
  </property>
</Properties>
</file>